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C64" w:rsidRPr="00006C64" w:rsidRDefault="00006C64" w:rsidP="00006C64">
      <w:pPr>
        <w:widowControl/>
        <w:autoSpaceDE/>
        <w:autoSpaceDN/>
        <w:adjustRightInd/>
        <w:spacing w:line="264" w:lineRule="auto"/>
        <w:jc w:val="center"/>
        <w:rPr>
          <w:rFonts w:ascii="Calibri" w:hAnsi="Calibri" w:cs="Arial"/>
          <w:b/>
          <w:bCs/>
          <w:sz w:val="28"/>
          <w:szCs w:val="28"/>
        </w:rPr>
      </w:pPr>
      <w:r w:rsidRPr="00006C64">
        <w:rPr>
          <w:rFonts w:ascii="Calibri" w:hAnsi="Calibri" w:cs="Arial"/>
          <w:b/>
          <w:bCs/>
          <w:sz w:val="28"/>
          <w:szCs w:val="28"/>
        </w:rPr>
        <w:t>PROJEKTNA NALOGA</w:t>
      </w:r>
    </w:p>
    <w:p w:rsidR="00006C64" w:rsidRPr="00006C64" w:rsidRDefault="00006C64" w:rsidP="00006C64">
      <w:pPr>
        <w:widowControl/>
        <w:autoSpaceDE/>
        <w:autoSpaceDN/>
        <w:adjustRightInd/>
        <w:spacing w:line="264" w:lineRule="auto"/>
        <w:jc w:val="center"/>
        <w:rPr>
          <w:rFonts w:ascii="Calibri" w:hAnsi="Calibri" w:cs="Arial"/>
          <w:b/>
          <w:bCs/>
          <w:sz w:val="22"/>
          <w:szCs w:val="22"/>
        </w:rPr>
      </w:pPr>
    </w:p>
    <w:p w:rsidR="00006C64" w:rsidRPr="00006C64" w:rsidRDefault="00006C64" w:rsidP="00006C64">
      <w:pPr>
        <w:widowControl/>
        <w:autoSpaceDE/>
        <w:autoSpaceDN/>
        <w:adjustRightInd/>
        <w:spacing w:line="264" w:lineRule="auto"/>
        <w:jc w:val="center"/>
        <w:rPr>
          <w:rFonts w:ascii="Calibri" w:hAnsi="Calibri" w:cs="Arial"/>
          <w:b/>
          <w:bCs/>
          <w:sz w:val="22"/>
          <w:szCs w:val="22"/>
        </w:rPr>
      </w:pPr>
    </w:p>
    <w:p w:rsidR="00006C64" w:rsidRPr="00006C64" w:rsidRDefault="00006C64" w:rsidP="00006C64">
      <w:pPr>
        <w:rPr>
          <w:rFonts w:ascii="Calibri" w:hAnsi="Calibri" w:cs="Arial"/>
          <w:b/>
          <w:bCs/>
          <w:sz w:val="22"/>
          <w:szCs w:val="22"/>
        </w:rPr>
      </w:pPr>
      <w:r w:rsidRPr="00006C64">
        <w:rPr>
          <w:rFonts w:ascii="Calibri" w:hAnsi="Calibri" w:cs="Arial"/>
          <w:b/>
          <w:bCs/>
          <w:sz w:val="22"/>
          <w:szCs w:val="22"/>
        </w:rPr>
        <w:t xml:space="preserve">Izvedba geodetskih del na komasacijskem območju  </w:t>
      </w:r>
      <w:r w:rsidR="009B523B">
        <w:rPr>
          <w:rFonts w:ascii="Calibri" w:hAnsi="Calibri" w:cs="Arial"/>
          <w:b/>
          <w:bCs/>
          <w:sz w:val="22"/>
          <w:szCs w:val="22"/>
        </w:rPr>
        <w:t>Videm</w:t>
      </w:r>
      <w:r w:rsidRPr="00006C64">
        <w:rPr>
          <w:rFonts w:ascii="Calibri" w:hAnsi="Calibri" w:cs="Arial"/>
          <w:b/>
          <w:bCs/>
          <w:sz w:val="22"/>
          <w:szCs w:val="22"/>
        </w:rPr>
        <w:t xml:space="preserve"> </w:t>
      </w:r>
      <w:r w:rsidR="006905D7">
        <w:rPr>
          <w:rFonts w:ascii="Calibri" w:hAnsi="Calibri" w:cs="Arial"/>
          <w:b/>
          <w:bCs/>
          <w:sz w:val="22"/>
          <w:szCs w:val="22"/>
        </w:rPr>
        <w:t>3</w:t>
      </w:r>
    </w:p>
    <w:p w:rsidR="00006C64" w:rsidRPr="00006C64" w:rsidRDefault="00006C64" w:rsidP="00006C64">
      <w:pPr>
        <w:pStyle w:val="Glava"/>
        <w:tabs>
          <w:tab w:val="clear" w:pos="4536"/>
          <w:tab w:val="clear" w:pos="9072"/>
        </w:tabs>
        <w:rPr>
          <w:rFonts w:ascii="Calibri" w:hAnsi="Calibri" w:cs="Arial"/>
          <w:sz w:val="22"/>
          <w:szCs w:val="22"/>
        </w:rPr>
      </w:pPr>
    </w:p>
    <w:p w:rsidR="00006C64" w:rsidRPr="00006C64" w:rsidRDefault="00006C64" w:rsidP="00006C64">
      <w:pPr>
        <w:jc w:val="both"/>
        <w:rPr>
          <w:rFonts w:ascii="Calibri" w:hAnsi="Calibri" w:cs="Arial"/>
          <w:b/>
          <w:bCs/>
          <w:sz w:val="22"/>
          <w:szCs w:val="22"/>
        </w:rPr>
      </w:pPr>
    </w:p>
    <w:p w:rsidR="00006C64" w:rsidRPr="00006C64" w:rsidRDefault="00006C64" w:rsidP="00006C64">
      <w:pPr>
        <w:jc w:val="both"/>
        <w:rPr>
          <w:rFonts w:ascii="Calibri" w:hAnsi="Calibri" w:cs="Arial"/>
          <w:b/>
          <w:bCs/>
          <w:sz w:val="22"/>
          <w:szCs w:val="22"/>
        </w:rPr>
      </w:pPr>
      <w:r w:rsidRPr="00006C64">
        <w:rPr>
          <w:rFonts w:ascii="Calibri" w:hAnsi="Calibri" w:cs="Arial"/>
          <w:b/>
          <w:bCs/>
          <w:sz w:val="22"/>
          <w:szCs w:val="22"/>
        </w:rPr>
        <w:t xml:space="preserve">1. </w:t>
      </w:r>
      <w:r w:rsidRPr="00006C64">
        <w:rPr>
          <w:rFonts w:ascii="Calibri" w:hAnsi="Calibri" w:cs="Arial"/>
          <w:b/>
          <w:bCs/>
          <w:sz w:val="22"/>
          <w:szCs w:val="22"/>
        </w:rPr>
        <w:tab/>
        <w:t>SPLOŠNI PODATKI O KOMASACIJSKEM OBMOČJU</w:t>
      </w:r>
    </w:p>
    <w:p w:rsidR="00006C64" w:rsidRDefault="00006C64" w:rsidP="00006C64">
      <w:pPr>
        <w:tabs>
          <w:tab w:val="left" w:pos="2024"/>
        </w:tabs>
        <w:jc w:val="both"/>
        <w:rPr>
          <w:rFonts w:ascii="Calibri" w:hAnsi="Calibri" w:cs="Arial"/>
          <w:sz w:val="22"/>
          <w:szCs w:val="22"/>
        </w:rPr>
      </w:pPr>
    </w:p>
    <w:p w:rsidR="00006C64" w:rsidRDefault="00006C64" w:rsidP="00006C64">
      <w:pPr>
        <w:tabs>
          <w:tab w:val="left" w:pos="2024"/>
        </w:tabs>
        <w:jc w:val="both"/>
        <w:rPr>
          <w:rFonts w:ascii="Calibri" w:hAnsi="Calibri" w:cs="Arial"/>
          <w:sz w:val="22"/>
          <w:szCs w:val="22"/>
        </w:rPr>
      </w:pPr>
    </w:p>
    <w:tbl>
      <w:tblPr>
        <w:tblStyle w:val="Tabela-mrea"/>
        <w:tblW w:w="0" w:type="auto"/>
        <w:tblLook w:val="04A0"/>
      </w:tblPr>
      <w:tblGrid>
        <w:gridCol w:w="3085"/>
        <w:gridCol w:w="2552"/>
      </w:tblGrid>
      <w:tr w:rsidR="00006C64" w:rsidTr="00006C64">
        <w:tc>
          <w:tcPr>
            <w:tcW w:w="3085" w:type="dxa"/>
          </w:tcPr>
          <w:p w:rsidR="00006C64" w:rsidRDefault="00006C64" w:rsidP="00006C64">
            <w:pPr>
              <w:tabs>
                <w:tab w:val="left" w:pos="2024"/>
              </w:tabs>
              <w:jc w:val="both"/>
              <w:rPr>
                <w:rFonts w:ascii="Calibri" w:hAnsi="Calibri" w:cs="Arial"/>
                <w:sz w:val="22"/>
                <w:szCs w:val="22"/>
              </w:rPr>
            </w:pPr>
            <w:r>
              <w:rPr>
                <w:rFonts w:ascii="Calibri" w:hAnsi="Calibri" w:cs="Arial"/>
                <w:sz w:val="22"/>
                <w:szCs w:val="22"/>
              </w:rPr>
              <w:t>Ime k</w:t>
            </w:r>
            <w:r w:rsidRPr="00006C64">
              <w:rPr>
                <w:rFonts w:ascii="Calibri" w:hAnsi="Calibri" w:cs="Arial"/>
                <w:sz w:val="22"/>
                <w:szCs w:val="22"/>
              </w:rPr>
              <w:t>omasacijsk</w:t>
            </w:r>
            <w:r>
              <w:rPr>
                <w:rFonts w:ascii="Calibri" w:hAnsi="Calibri" w:cs="Arial"/>
                <w:sz w:val="22"/>
                <w:szCs w:val="22"/>
              </w:rPr>
              <w:t>ega območja</w:t>
            </w:r>
          </w:p>
        </w:tc>
        <w:tc>
          <w:tcPr>
            <w:tcW w:w="2552" w:type="dxa"/>
          </w:tcPr>
          <w:p w:rsidR="00006C64" w:rsidRDefault="009B523B" w:rsidP="006905D7">
            <w:pPr>
              <w:tabs>
                <w:tab w:val="left" w:pos="2024"/>
              </w:tabs>
              <w:jc w:val="both"/>
              <w:rPr>
                <w:rFonts w:ascii="Calibri" w:hAnsi="Calibri" w:cs="Arial"/>
                <w:sz w:val="22"/>
                <w:szCs w:val="22"/>
              </w:rPr>
            </w:pPr>
            <w:r>
              <w:rPr>
                <w:rFonts w:ascii="Calibri" w:hAnsi="Calibri" w:cs="Arial"/>
                <w:sz w:val="22"/>
                <w:szCs w:val="22"/>
              </w:rPr>
              <w:t>Videm</w:t>
            </w:r>
            <w:r w:rsidR="00006C64">
              <w:rPr>
                <w:rFonts w:ascii="Calibri" w:hAnsi="Calibri" w:cs="Arial"/>
                <w:sz w:val="22"/>
                <w:szCs w:val="22"/>
              </w:rPr>
              <w:t xml:space="preserve"> </w:t>
            </w:r>
            <w:r w:rsidR="006905D7">
              <w:rPr>
                <w:rFonts w:ascii="Calibri" w:hAnsi="Calibri" w:cs="Arial"/>
                <w:sz w:val="22"/>
                <w:szCs w:val="22"/>
              </w:rPr>
              <w:t>3</w:t>
            </w:r>
          </w:p>
        </w:tc>
      </w:tr>
      <w:tr w:rsidR="00006C64" w:rsidTr="00006C64">
        <w:tc>
          <w:tcPr>
            <w:tcW w:w="3085" w:type="dxa"/>
          </w:tcPr>
          <w:p w:rsidR="00006C64" w:rsidRDefault="00006C64" w:rsidP="00006C64">
            <w:pPr>
              <w:tabs>
                <w:tab w:val="left" w:pos="2024"/>
              </w:tabs>
              <w:jc w:val="both"/>
              <w:rPr>
                <w:rFonts w:ascii="Calibri" w:hAnsi="Calibri" w:cs="Arial"/>
                <w:sz w:val="22"/>
                <w:szCs w:val="22"/>
              </w:rPr>
            </w:pPr>
            <w:r>
              <w:rPr>
                <w:rFonts w:ascii="Calibri" w:hAnsi="Calibri" w:cs="Arial"/>
                <w:sz w:val="22"/>
                <w:szCs w:val="22"/>
              </w:rPr>
              <w:t>P</w:t>
            </w:r>
            <w:r w:rsidRPr="00006C64">
              <w:rPr>
                <w:rFonts w:ascii="Calibri" w:hAnsi="Calibri" w:cs="Arial"/>
                <w:sz w:val="22"/>
                <w:szCs w:val="22"/>
              </w:rPr>
              <w:t>ovršina območja</w:t>
            </w:r>
          </w:p>
        </w:tc>
        <w:tc>
          <w:tcPr>
            <w:tcW w:w="2552" w:type="dxa"/>
          </w:tcPr>
          <w:p w:rsidR="00006C64" w:rsidRDefault="00BB674B" w:rsidP="00006C64">
            <w:pPr>
              <w:tabs>
                <w:tab w:val="left" w:pos="2024"/>
              </w:tabs>
              <w:jc w:val="both"/>
              <w:rPr>
                <w:rFonts w:ascii="Calibri" w:hAnsi="Calibri" w:cs="Arial"/>
                <w:sz w:val="22"/>
                <w:szCs w:val="22"/>
              </w:rPr>
            </w:pPr>
            <w:r>
              <w:rPr>
                <w:rFonts w:ascii="Calibri" w:hAnsi="Calibri" w:cs="Arial"/>
                <w:sz w:val="22"/>
                <w:szCs w:val="22"/>
              </w:rPr>
              <w:t>273</w:t>
            </w:r>
            <w:r w:rsidR="00006C64">
              <w:rPr>
                <w:rFonts w:ascii="Calibri" w:hAnsi="Calibri" w:cs="Arial"/>
                <w:sz w:val="22"/>
                <w:szCs w:val="22"/>
              </w:rPr>
              <w:t xml:space="preserve"> ha</w:t>
            </w:r>
          </w:p>
        </w:tc>
      </w:tr>
      <w:tr w:rsidR="00006C64" w:rsidTr="00006C64">
        <w:tc>
          <w:tcPr>
            <w:tcW w:w="3085" w:type="dxa"/>
          </w:tcPr>
          <w:p w:rsidR="00006C64" w:rsidRDefault="00006C64" w:rsidP="00006C64">
            <w:pPr>
              <w:tabs>
                <w:tab w:val="left" w:pos="2024"/>
              </w:tabs>
              <w:jc w:val="both"/>
              <w:rPr>
                <w:rFonts w:ascii="Calibri" w:hAnsi="Calibri" w:cs="Arial"/>
                <w:sz w:val="22"/>
                <w:szCs w:val="22"/>
              </w:rPr>
            </w:pPr>
            <w:r>
              <w:rPr>
                <w:rFonts w:ascii="Calibri" w:hAnsi="Calibri" w:cs="Arial"/>
                <w:sz w:val="22"/>
                <w:szCs w:val="22"/>
              </w:rPr>
              <w:t>Število parcel</w:t>
            </w:r>
          </w:p>
        </w:tc>
        <w:tc>
          <w:tcPr>
            <w:tcW w:w="2552" w:type="dxa"/>
          </w:tcPr>
          <w:p w:rsidR="00006C64" w:rsidRDefault="009B523B" w:rsidP="006905D7">
            <w:pPr>
              <w:tabs>
                <w:tab w:val="left" w:pos="2024"/>
              </w:tabs>
              <w:jc w:val="both"/>
              <w:rPr>
                <w:rFonts w:ascii="Calibri" w:hAnsi="Calibri" w:cs="Arial"/>
                <w:sz w:val="22"/>
                <w:szCs w:val="22"/>
              </w:rPr>
            </w:pPr>
            <w:r>
              <w:rPr>
                <w:rFonts w:ascii="Calibri" w:hAnsi="Calibri" w:cs="Arial"/>
                <w:sz w:val="22"/>
                <w:szCs w:val="22"/>
              </w:rPr>
              <w:t>842</w:t>
            </w:r>
          </w:p>
        </w:tc>
      </w:tr>
      <w:tr w:rsidR="00006C64" w:rsidTr="00006C64">
        <w:tc>
          <w:tcPr>
            <w:tcW w:w="3085" w:type="dxa"/>
          </w:tcPr>
          <w:p w:rsidR="00006C64" w:rsidRDefault="00006C64" w:rsidP="00006C64">
            <w:pPr>
              <w:tabs>
                <w:tab w:val="left" w:pos="2024"/>
              </w:tabs>
              <w:jc w:val="both"/>
              <w:rPr>
                <w:rFonts w:ascii="Calibri" w:hAnsi="Calibri" w:cs="Arial"/>
                <w:sz w:val="22"/>
                <w:szCs w:val="22"/>
              </w:rPr>
            </w:pPr>
            <w:r>
              <w:rPr>
                <w:rFonts w:ascii="Calibri" w:hAnsi="Calibri" w:cs="Arial"/>
                <w:sz w:val="22"/>
                <w:szCs w:val="22"/>
              </w:rPr>
              <w:t>Število lastnikov parcel</w:t>
            </w:r>
          </w:p>
        </w:tc>
        <w:tc>
          <w:tcPr>
            <w:tcW w:w="2552" w:type="dxa"/>
          </w:tcPr>
          <w:p w:rsidR="00006C64" w:rsidRDefault="009B523B" w:rsidP="00006C64">
            <w:pPr>
              <w:tabs>
                <w:tab w:val="left" w:pos="2024"/>
              </w:tabs>
              <w:jc w:val="both"/>
              <w:rPr>
                <w:rFonts w:ascii="Calibri" w:hAnsi="Calibri" w:cs="Arial"/>
                <w:sz w:val="22"/>
                <w:szCs w:val="22"/>
              </w:rPr>
            </w:pPr>
            <w:r>
              <w:rPr>
                <w:rFonts w:ascii="Calibri" w:hAnsi="Calibri" w:cs="Arial"/>
                <w:sz w:val="22"/>
                <w:szCs w:val="22"/>
              </w:rPr>
              <w:t>277</w:t>
            </w:r>
          </w:p>
        </w:tc>
      </w:tr>
    </w:tbl>
    <w:p w:rsidR="00006C64" w:rsidRPr="00006C64" w:rsidRDefault="00006C64" w:rsidP="00006C64">
      <w:pPr>
        <w:tabs>
          <w:tab w:val="left" w:pos="2024"/>
        </w:tabs>
        <w:jc w:val="both"/>
        <w:rPr>
          <w:rFonts w:ascii="Calibri" w:hAnsi="Calibri" w:cs="Arial"/>
          <w:sz w:val="22"/>
          <w:szCs w:val="22"/>
        </w:rPr>
      </w:pPr>
      <w:r w:rsidRPr="00006C64">
        <w:rPr>
          <w:rFonts w:ascii="Calibri" w:hAnsi="Calibri" w:cs="Arial"/>
          <w:sz w:val="22"/>
          <w:szCs w:val="22"/>
        </w:rPr>
        <w:tab/>
      </w:r>
    </w:p>
    <w:p w:rsidR="00006C64" w:rsidRPr="00006C64" w:rsidRDefault="00006C64" w:rsidP="00006C64">
      <w:pPr>
        <w:jc w:val="both"/>
        <w:rPr>
          <w:rFonts w:ascii="Calibri" w:hAnsi="Calibri" w:cs="Arial"/>
          <w:sz w:val="22"/>
          <w:szCs w:val="22"/>
        </w:rPr>
      </w:pPr>
      <w:r>
        <w:rPr>
          <w:rFonts w:ascii="Calibri" w:hAnsi="Calibri" w:cs="Arial"/>
          <w:sz w:val="22"/>
          <w:szCs w:val="22"/>
        </w:rPr>
        <w:t>G</w:t>
      </w:r>
      <w:r w:rsidRPr="00006C64">
        <w:rPr>
          <w:rFonts w:ascii="Calibri" w:hAnsi="Calibri" w:cs="Arial"/>
          <w:sz w:val="22"/>
          <w:szCs w:val="22"/>
        </w:rPr>
        <w:t>rafičn</w:t>
      </w:r>
      <w:r>
        <w:rPr>
          <w:rFonts w:ascii="Calibri" w:hAnsi="Calibri" w:cs="Arial"/>
          <w:sz w:val="22"/>
          <w:szCs w:val="22"/>
        </w:rPr>
        <w:t>i prikaz območja (</w:t>
      </w:r>
      <w:r w:rsidR="002573EE">
        <w:rPr>
          <w:rFonts w:ascii="Calibri" w:hAnsi="Calibri" w:cs="Arial"/>
          <w:sz w:val="22"/>
          <w:szCs w:val="22"/>
        </w:rPr>
        <w:t xml:space="preserve">predlog </w:t>
      </w:r>
      <w:r>
        <w:rPr>
          <w:rFonts w:ascii="Calibri" w:hAnsi="Calibri" w:cs="Arial"/>
          <w:sz w:val="22"/>
          <w:szCs w:val="22"/>
        </w:rPr>
        <w:t>idejn</w:t>
      </w:r>
      <w:r w:rsidR="002573EE">
        <w:rPr>
          <w:rFonts w:ascii="Calibri" w:hAnsi="Calibri" w:cs="Arial"/>
          <w:sz w:val="22"/>
          <w:szCs w:val="22"/>
        </w:rPr>
        <w:t>a</w:t>
      </w:r>
      <w:r>
        <w:rPr>
          <w:rFonts w:ascii="Calibri" w:hAnsi="Calibri" w:cs="Arial"/>
          <w:sz w:val="22"/>
          <w:szCs w:val="22"/>
        </w:rPr>
        <w:t xml:space="preserve"> zasnov</w:t>
      </w:r>
      <w:r w:rsidR="002573EE">
        <w:rPr>
          <w:rFonts w:ascii="Calibri" w:hAnsi="Calibri" w:cs="Arial"/>
          <w:sz w:val="22"/>
          <w:szCs w:val="22"/>
        </w:rPr>
        <w:t>e</w:t>
      </w:r>
      <w:r>
        <w:rPr>
          <w:rFonts w:ascii="Calibri" w:hAnsi="Calibri" w:cs="Arial"/>
          <w:sz w:val="22"/>
          <w:szCs w:val="22"/>
        </w:rPr>
        <w:t xml:space="preserve">) je </w:t>
      </w:r>
      <w:r w:rsidRPr="00B63023">
        <w:rPr>
          <w:rFonts w:ascii="Calibri" w:hAnsi="Calibri" w:cs="Arial"/>
          <w:sz w:val="22"/>
          <w:szCs w:val="22"/>
        </w:rPr>
        <w:t>priložen v prilogi.</w:t>
      </w:r>
    </w:p>
    <w:p w:rsidR="00006C64" w:rsidRPr="00006C64" w:rsidRDefault="00006C64" w:rsidP="00006C64">
      <w:pPr>
        <w:jc w:val="both"/>
        <w:rPr>
          <w:rFonts w:ascii="Calibri" w:hAnsi="Calibri" w:cs="Arial"/>
          <w:sz w:val="22"/>
          <w:szCs w:val="22"/>
        </w:rPr>
      </w:pPr>
    </w:p>
    <w:p w:rsidR="00006C64" w:rsidRPr="00006C64" w:rsidRDefault="00006C64" w:rsidP="00006C64">
      <w:pPr>
        <w:jc w:val="both"/>
        <w:rPr>
          <w:rFonts w:ascii="Calibri" w:hAnsi="Calibri" w:cs="Arial"/>
          <w:b/>
          <w:bCs/>
          <w:sz w:val="22"/>
          <w:szCs w:val="22"/>
        </w:rPr>
      </w:pPr>
      <w:r w:rsidRPr="00006C64">
        <w:rPr>
          <w:rFonts w:ascii="Calibri" w:hAnsi="Calibri" w:cs="Arial"/>
          <w:b/>
          <w:bCs/>
          <w:sz w:val="22"/>
          <w:szCs w:val="22"/>
        </w:rPr>
        <w:t xml:space="preserve">2. </w:t>
      </w:r>
      <w:r w:rsidRPr="00006C64">
        <w:rPr>
          <w:rFonts w:ascii="Calibri" w:hAnsi="Calibri" w:cs="Arial"/>
          <w:b/>
          <w:bCs/>
          <w:sz w:val="22"/>
          <w:szCs w:val="22"/>
        </w:rPr>
        <w:tab/>
        <w:t>VRSTA IN OBSEG DEL:</w:t>
      </w:r>
    </w:p>
    <w:p w:rsidR="00006C64" w:rsidRPr="00006C64" w:rsidRDefault="00006C64" w:rsidP="00006C64">
      <w:pPr>
        <w:jc w:val="both"/>
        <w:rPr>
          <w:rFonts w:ascii="Calibri" w:hAnsi="Calibri" w:cs="Arial"/>
          <w:b/>
          <w:bCs/>
          <w:sz w:val="22"/>
          <w:szCs w:val="22"/>
        </w:rPr>
      </w:pP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 xml:space="preserve">ureditev meje na obodu komasacijskega območja, </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izdelava elaborata ureditve meje na obodu komasacijskega območja,</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izdelava, razgrnitev in usklajevanje elaborata obstoječega stanja zemljišč,</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izdelava, razgrnitev in usklajevanje elaborata vrednotenja zemljišč komasacijskega sklada,</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izdelava, razgrnitev in usklajevanje elaborata idejne zasnove ureditve</w:t>
      </w:r>
    </w:p>
    <w:p w:rsidR="00006C64" w:rsidRPr="00006C64" w:rsidRDefault="00006C64" w:rsidP="003A72A9">
      <w:pPr>
        <w:tabs>
          <w:tab w:val="left" w:pos="426"/>
        </w:tabs>
        <w:ind w:left="66"/>
        <w:jc w:val="both"/>
        <w:rPr>
          <w:rFonts w:ascii="Calibri" w:hAnsi="Calibri" w:cs="Arial"/>
          <w:sz w:val="22"/>
          <w:szCs w:val="22"/>
        </w:rPr>
      </w:pPr>
      <w:r w:rsidRPr="00006C64">
        <w:rPr>
          <w:rFonts w:ascii="Calibri" w:hAnsi="Calibri" w:cs="Arial"/>
          <w:sz w:val="22"/>
          <w:szCs w:val="22"/>
        </w:rPr>
        <w:t xml:space="preserve">     </w:t>
      </w:r>
      <w:r w:rsidR="003A72A9">
        <w:rPr>
          <w:rFonts w:ascii="Calibri" w:hAnsi="Calibri" w:cs="Arial"/>
          <w:sz w:val="22"/>
          <w:szCs w:val="22"/>
        </w:rPr>
        <w:t xml:space="preserve">  </w:t>
      </w:r>
      <w:r w:rsidRPr="00006C64">
        <w:rPr>
          <w:rFonts w:ascii="Calibri" w:hAnsi="Calibri" w:cs="Arial"/>
          <w:sz w:val="22"/>
          <w:szCs w:val="22"/>
        </w:rPr>
        <w:t>komasacijskega območja,</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ureditev meje znotraj komasacijskega območja - gozdovi, trajni nasadi, ohišnice,</w:t>
      </w:r>
      <w:r>
        <w:rPr>
          <w:rFonts w:ascii="Calibri" w:hAnsi="Calibri" w:cs="Arial"/>
          <w:sz w:val="22"/>
          <w:szCs w:val="22"/>
        </w:rPr>
        <w:t>...</w:t>
      </w:r>
      <w:r w:rsidR="003A72A9">
        <w:rPr>
          <w:rFonts w:ascii="Calibri" w:hAnsi="Calibri" w:cs="Arial"/>
          <w:sz w:val="22"/>
          <w:szCs w:val="22"/>
        </w:rPr>
        <w:t>,</w:t>
      </w:r>
    </w:p>
    <w:p w:rsidR="00006C64" w:rsidRPr="00006C64" w:rsidRDefault="00006C64" w:rsidP="00006C64">
      <w:pPr>
        <w:numPr>
          <w:ilvl w:val="0"/>
          <w:numId w:val="2"/>
        </w:numPr>
        <w:ind w:left="426"/>
        <w:jc w:val="both"/>
        <w:rPr>
          <w:rFonts w:ascii="Calibri" w:hAnsi="Calibri" w:cs="Arial"/>
          <w:sz w:val="22"/>
          <w:szCs w:val="22"/>
        </w:rPr>
      </w:pPr>
      <w:proofErr w:type="spellStart"/>
      <w:r w:rsidRPr="00006C64">
        <w:rPr>
          <w:rFonts w:ascii="Calibri" w:hAnsi="Calibri" w:cs="Arial"/>
          <w:sz w:val="22"/>
          <w:szCs w:val="22"/>
        </w:rPr>
        <w:t>zamejničenje</w:t>
      </w:r>
      <w:proofErr w:type="spellEnd"/>
      <w:r w:rsidRPr="00006C64">
        <w:rPr>
          <w:rFonts w:ascii="Calibri" w:hAnsi="Calibri" w:cs="Arial"/>
          <w:sz w:val="22"/>
          <w:szCs w:val="22"/>
        </w:rPr>
        <w:t xml:space="preserve"> in izmera dolžinskih objektov znotraj komasacijskega območja - ceste, poti, </w:t>
      </w:r>
      <w:r>
        <w:rPr>
          <w:rFonts w:ascii="Calibri" w:hAnsi="Calibri" w:cs="Arial"/>
          <w:sz w:val="22"/>
          <w:szCs w:val="22"/>
        </w:rPr>
        <w:t xml:space="preserve">melioracijski </w:t>
      </w:r>
      <w:r w:rsidRPr="00006C64">
        <w:rPr>
          <w:rFonts w:ascii="Calibri" w:hAnsi="Calibri" w:cs="Arial"/>
          <w:sz w:val="22"/>
          <w:szCs w:val="22"/>
        </w:rPr>
        <w:t>jarki,</w:t>
      </w:r>
      <w:r>
        <w:rPr>
          <w:rFonts w:ascii="Calibri" w:hAnsi="Calibri" w:cs="Arial"/>
          <w:sz w:val="22"/>
          <w:szCs w:val="22"/>
        </w:rPr>
        <w:t xml:space="preserve"> potoki</w:t>
      </w:r>
      <w:r w:rsidR="003A72A9">
        <w:rPr>
          <w:rFonts w:ascii="Calibri" w:hAnsi="Calibri" w:cs="Arial"/>
          <w:sz w:val="22"/>
          <w:szCs w:val="22"/>
        </w:rPr>
        <w:t>,</w:t>
      </w:r>
      <w:r w:rsidRPr="00006C64">
        <w:rPr>
          <w:rFonts w:ascii="Calibri" w:hAnsi="Calibri" w:cs="Arial"/>
          <w:sz w:val="22"/>
          <w:szCs w:val="22"/>
        </w:rPr>
        <w:t>....</w:t>
      </w:r>
      <w:r w:rsidR="003A72A9">
        <w:rPr>
          <w:rFonts w:ascii="Calibri" w:hAnsi="Calibri" w:cs="Arial"/>
          <w:sz w:val="22"/>
          <w:szCs w:val="22"/>
        </w:rPr>
        <w:t>,</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 xml:space="preserve">izmera objektov </w:t>
      </w:r>
      <w:r>
        <w:rPr>
          <w:rFonts w:ascii="Calibri" w:hAnsi="Calibri" w:cs="Arial"/>
          <w:sz w:val="22"/>
          <w:szCs w:val="22"/>
        </w:rPr>
        <w:t xml:space="preserve">v komasacijskem območju </w:t>
      </w:r>
      <w:r w:rsidRPr="00006C64">
        <w:rPr>
          <w:rFonts w:ascii="Calibri" w:hAnsi="Calibri" w:cs="Arial"/>
          <w:sz w:val="22"/>
          <w:szCs w:val="22"/>
        </w:rPr>
        <w:t>- stanovanjski objekti, gospodarski objekti, ...</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izmera objektov v območju, ki so pomembni za izdelavo projekta nove razdelitve</w:t>
      </w:r>
    </w:p>
    <w:p w:rsidR="00006C64" w:rsidRPr="00006C64" w:rsidRDefault="00006C64" w:rsidP="00006C64">
      <w:pPr>
        <w:ind w:left="426"/>
        <w:jc w:val="both"/>
        <w:rPr>
          <w:rFonts w:ascii="Calibri" w:hAnsi="Calibri" w:cs="Arial"/>
          <w:sz w:val="22"/>
          <w:szCs w:val="22"/>
        </w:rPr>
      </w:pPr>
      <w:r w:rsidRPr="00006C64">
        <w:rPr>
          <w:rFonts w:ascii="Calibri" w:hAnsi="Calibri" w:cs="Arial"/>
          <w:sz w:val="22"/>
          <w:szCs w:val="22"/>
        </w:rPr>
        <w:t>zemljiš</w:t>
      </w:r>
      <w:r w:rsidR="003A72A9">
        <w:rPr>
          <w:rFonts w:ascii="Calibri" w:hAnsi="Calibri" w:cs="Arial"/>
          <w:sz w:val="22"/>
          <w:szCs w:val="22"/>
        </w:rPr>
        <w:t xml:space="preserve">č - terase, </w:t>
      </w:r>
      <w:proofErr w:type="spellStart"/>
      <w:r w:rsidR="003A72A9">
        <w:rPr>
          <w:rFonts w:ascii="Calibri" w:hAnsi="Calibri" w:cs="Arial"/>
          <w:sz w:val="22"/>
          <w:szCs w:val="22"/>
        </w:rPr>
        <w:t>elektro</w:t>
      </w:r>
      <w:proofErr w:type="spellEnd"/>
      <w:r w:rsidR="003A72A9">
        <w:rPr>
          <w:rFonts w:ascii="Calibri" w:hAnsi="Calibri" w:cs="Arial"/>
          <w:sz w:val="22"/>
          <w:szCs w:val="22"/>
        </w:rPr>
        <w:t xml:space="preserve"> drogovi, ..</w:t>
      </w:r>
      <w:r w:rsidRPr="00006C64">
        <w:rPr>
          <w:rFonts w:ascii="Calibri" w:hAnsi="Calibri" w:cs="Arial"/>
          <w:sz w:val="22"/>
          <w:szCs w:val="22"/>
        </w:rPr>
        <w:t>.,</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izdelava, razgrnitev in usklajevanje projekta nove razdelitve zemljišč,</w:t>
      </w:r>
    </w:p>
    <w:p w:rsidR="00006C64" w:rsidRPr="00006C64" w:rsidRDefault="00006C64" w:rsidP="00006C64">
      <w:pPr>
        <w:numPr>
          <w:ilvl w:val="0"/>
          <w:numId w:val="2"/>
        </w:numPr>
        <w:ind w:left="426"/>
        <w:jc w:val="both"/>
        <w:rPr>
          <w:rFonts w:ascii="Calibri" w:hAnsi="Calibri" w:cs="Arial"/>
          <w:sz w:val="22"/>
          <w:szCs w:val="22"/>
        </w:rPr>
      </w:pPr>
      <w:proofErr w:type="spellStart"/>
      <w:r w:rsidRPr="00006C64">
        <w:rPr>
          <w:rFonts w:ascii="Calibri" w:hAnsi="Calibri" w:cs="Arial"/>
          <w:sz w:val="22"/>
          <w:szCs w:val="22"/>
        </w:rPr>
        <w:t>zamejničenje</w:t>
      </w:r>
      <w:proofErr w:type="spellEnd"/>
      <w:r w:rsidRPr="00006C64">
        <w:rPr>
          <w:rFonts w:ascii="Calibri" w:hAnsi="Calibri" w:cs="Arial"/>
          <w:sz w:val="22"/>
          <w:szCs w:val="22"/>
        </w:rPr>
        <w:t xml:space="preserve"> novih parcel v naravi in seznanitev lastnikov,</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izdelava elaborata komasacije,</w:t>
      </w:r>
    </w:p>
    <w:p w:rsidR="00006C64" w:rsidRPr="00006C64" w:rsidRDefault="00006C64" w:rsidP="00006C64">
      <w:pPr>
        <w:numPr>
          <w:ilvl w:val="0"/>
          <w:numId w:val="2"/>
        </w:numPr>
        <w:ind w:left="426"/>
        <w:jc w:val="both"/>
        <w:rPr>
          <w:rFonts w:ascii="Calibri" w:hAnsi="Calibri" w:cs="Arial"/>
          <w:sz w:val="22"/>
          <w:szCs w:val="22"/>
        </w:rPr>
      </w:pPr>
      <w:r w:rsidRPr="00006C64">
        <w:rPr>
          <w:rFonts w:ascii="Calibri" w:hAnsi="Calibri" w:cs="Arial"/>
          <w:sz w:val="22"/>
          <w:szCs w:val="22"/>
        </w:rPr>
        <w:t xml:space="preserve">sodelovanje pri reševanju pritožb na odločbo o novi razdelitvi zemljišč in izvedba </w:t>
      </w:r>
    </w:p>
    <w:p w:rsidR="00006C64" w:rsidRPr="00006C64" w:rsidRDefault="00006C64" w:rsidP="00006C64">
      <w:pPr>
        <w:ind w:left="426"/>
        <w:jc w:val="both"/>
        <w:rPr>
          <w:rFonts w:ascii="Calibri" w:hAnsi="Calibri" w:cs="Arial"/>
          <w:sz w:val="22"/>
          <w:szCs w:val="22"/>
        </w:rPr>
      </w:pPr>
      <w:r w:rsidRPr="00006C64">
        <w:rPr>
          <w:rFonts w:ascii="Calibri" w:hAnsi="Calibri" w:cs="Arial"/>
          <w:sz w:val="22"/>
          <w:szCs w:val="22"/>
        </w:rPr>
        <w:t>analiz in morebitnih sprememb na terenu in v elaboratih – do pravnomočnosti odločbe, v skladu s pogodbo.</w:t>
      </w:r>
    </w:p>
    <w:p w:rsidR="00006C64" w:rsidRPr="00006C64" w:rsidRDefault="00006C64" w:rsidP="00006C64">
      <w:pPr>
        <w:jc w:val="both"/>
        <w:rPr>
          <w:rFonts w:ascii="Calibri" w:hAnsi="Calibri" w:cs="Arial"/>
          <w:sz w:val="22"/>
          <w:szCs w:val="22"/>
        </w:rPr>
      </w:pPr>
    </w:p>
    <w:p w:rsidR="00006C64" w:rsidRPr="00006C64" w:rsidRDefault="00006C64" w:rsidP="00006C64">
      <w:pPr>
        <w:jc w:val="both"/>
        <w:rPr>
          <w:rFonts w:ascii="Calibri" w:hAnsi="Calibri" w:cs="Arial"/>
          <w:sz w:val="22"/>
          <w:szCs w:val="22"/>
        </w:rPr>
      </w:pPr>
      <w:r w:rsidRPr="00006C64">
        <w:rPr>
          <w:rFonts w:ascii="Calibri" w:hAnsi="Calibri" w:cs="Arial"/>
          <w:sz w:val="22"/>
          <w:szCs w:val="22"/>
        </w:rPr>
        <w:t xml:space="preserve">Kot zaključitev komasacijskih del je mišljena faza komasacijskega postopka, </w:t>
      </w:r>
      <w:r w:rsidR="003A72A9">
        <w:rPr>
          <w:rFonts w:ascii="Calibri" w:hAnsi="Calibri" w:cs="Arial"/>
          <w:sz w:val="22"/>
          <w:szCs w:val="22"/>
        </w:rPr>
        <w:t>v kateri</w:t>
      </w:r>
      <w:r w:rsidRPr="00006C64">
        <w:rPr>
          <w:rFonts w:ascii="Calibri" w:hAnsi="Calibri" w:cs="Arial"/>
          <w:sz w:val="22"/>
          <w:szCs w:val="22"/>
        </w:rPr>
        <w:t xml:space="preserve"> izvajalec del preda celoten elaborat komasacije upravni enoti in pristojni območni geodetski upravi. To se pravi, da je komasacij</w:t>
      </w:r>
      <w:r w:rsidR="003A72A9">
        <w:rPr>
          <w:rFonts w:ascii="Calibri" w:hAnsi="Calibri" w:cs="Arial"/>
          <w:sz w:val="22"/>
          <w:szCs w:val="22"/>
        </w:rPr>
        <w:t>a</w:t>
      </w:r>
      <w:r w:rsidRPr="00006C64">
        <w:rPr>
          <w:rFonts w:ascii="Calibri" w:hAnsi="Calibri" w:cs="Arial"/>
          <w:sz w:val="22"/>
          <w:szCs w:val="22"/>
        </w:rPr>
        <w:t xml:space="preserve"> v upravnem smislu pripeljana do faze, ko so izpolnjeni vsi pogoji, da lahko upravna enota izda odločbo o novi razdelitvi zemljišč komasacijskega sklada.</w:t>
      </w:r>
    </w:p>
    <w:p w:rsidR="00006C64" w:rsidRPr="00006C64" w:rsidRDefault="00006C64" w:rsidP="00006C64">
      <w:pPr>
        <w:jc w:val="both"/>
        <w:rPr>
          <w:rFonts w:ascii="Calibri" w:hAnsi="Calibri" w:cs="Arial"/>
          <w:sz w:val="22"/>
          <w:szCs w:val="22"/>
        </w:rPr>
      </w:pPr>
    </w:p>
    <w:p w:rsidR="00006C64" w:rsidRPr="00006C64" w:rsidRDefault="00006C64" w:rsidP="00006C64">
      <w:pPr>
        <w:jc w:val="both"/>
        <w:rPr>
          <w:rFonts w:ascii="Calibri" w:hAnsi="Calibri" w:cs="Arial"/>
          <w:sz w:val="22"/>
          <w:szCs w:val="22"/>
        </w:rPr>
      </w:pPr>
      <w:r w:rsidRPr="00006C64">
        <w:rPr>
          <w:rFonts w:ascii="Calibri" w:hAnsi="Calibri" w:cs="Arial"/>
          <w:sz w:val="22"/>
          <w:szCs w:val="22"/>
        </w:rPr>
        <w:t xml:space="preserve">Po končanem delu bo izvajalec predal pristojni geodetski upravi tehnični del elaborata, pristojni </w:t>
      </w:r>
      <w:r w:rsidR="003A72A9">
        <w:rPr>
          <w:rFonts w:ascii="Calibri" w:hAnsi="Calibri" w:cs="Arial"/>
          <w:sz w:val="22"/>
          <w:szCs w:val="22"/>
        </w:rPr>
        <w:t>u</w:t>
      </w:r>
      <w:r w:rsidRPr="00006C64">
        <w:rPr>
          <w:rFonts w:ascii="Calibri" w:hAnsi="Calibri" w:cs="Arial"/>
          <w:sz w:val="22"/>
          <w:szCs w:val="22"/>
        </w:rPr>
        <w:t>pravni enoti pa upravni del elaborata v skladu z zakonskimi predpisi.</w:t>
      </w:r>
    </w:p>
    <w:p w:rsidR="00006C64" w:rsidRDefault="00006C64" w:rsidP="00006C64">
      <w:pPr>
        <w:tabs>
          <w:tab w:val="left" w:pos="567"/>
          <w:tab w:val="left" w:pos="851"/>
        </w:tabs>
        <w:jc w:val="both"/>
        <w:rPr>
          <w:rFonts w:ascii="Calibri" w:hAnsi="Calibri" w:cs="Arial"/>
          <w:sz w:val="22"/>
          <w:szCs w:val="22"/>
        </w:rPr>
      </w:pPr>
    </w:p>
    <w:p w:rsidR="00006C64" w:rsidRPr="00006C64" w:rsidRDefault="00006C64" w:rsidP="00006C64">
      <w:pPr>
        <w:tabs>
          <w:tab w:val="left" w:pos="567"/>
          <w:tab w:val="left" w:pos="851"/>
        </w:tabs>
        <w:jc w:val="both"/>
        <w:rPr>
          <w:rFonts w:ascii="Calibri" w:hAnsi="Calibri" w:cs="Arial"/>
          <w:sz w:val="22"/>
          <w:szCs w:val="22"/>
        </w:rPr>
      </w:pPr>
    </w:p>
    <w:p w:rsidR="00006C64" w:rsidRPr="00006C64" w:rsidRDefault="00006C64" w:rsidP="00006C64">
      <w:pPr>
        <w:pStyle w:val="Telobesedila2"/>
        <w:tabs>
          <w:tab w:val="left" w:pos="567"/>
          <w:tab w:val="left" w:pos="851"/>
        </w:tabs>
        <w:rPr>
          <w:rFonts w:ascii="Calibri" w:hAnsi="Calibri" w:cs="Arial"/>
          <w:b/>
          <w:bCs/>
          <w:sz w:val="22"/>
          <w:szCs w:val="22"/>
        </w:rPr>
      </w:pPr>
      <w:r w:rsidRPr="00006C64">
        <w:rPr>
          <w:rFonts w:ascii="Calibri" w:hAnsi="Calibri" w:cs="Arial"/>
          <w:b/>
          <w:bCs/>
          <w:sz w:val="22"/>
          <w:szCs w:val="22"/>
        </w:rPr>
        <w:lastRenderedPageBreak/>
        <w:t xml:space="preserve">3. </w:t>
      </w:r>
      <w:r w:rsidRPr="00006C64">
        <w:rPr>
          <w:rFonts w:ascii="Calibri" w:hAnsi="Calibri" w:cs="Arial"/>
          <w:b/>
          <w:bCs/>
          <w:sz w:val="22"/>
          <w:szCs w:val="22"/>
        </w:rPr>
        <w:tab/>
        <w:t>VSEBINA ELABORATA IN OPERATA:</w:t>
      </w:r>
    </w:p>
    <w:p w:rsidR="00006C64" w:rsidRPr="00006C64" w:rsidRDefault="00006C64" w:rsidP="00006C64">
      <w:pPr>
        <w:tabs>
          <w:tab w:val="left" w:pos="567"/>
          <w:tab w:val="left" w:pos="851"/>
        </w:tabs>
        <w:jc w:val="both"/>
        <w:rPr>
          <w:rFonts w:ascii="Calibri" w:hAnsi="Calibri" w:cs="Arial"/>
          <w:sz w:val="22"/>
          <w:szCs w:val="22"/>
        </w:rPr>
      </w:pPr>
    </w:p>
    <w:p w:rsid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Po končanem delu bo izvajalec predal naročniku elaborat komasacijskega postopka v skladu z Zakonom o kmetijskih zemljiščih</w:t>
      </w:r>
      <w:r w:rsidR="003A72A9" w:rsidRPr="003A72A9">
        <w:rPr>
          <w:rFonts w:ascii="Arial" w:hAnsi="Arial" w:cs="Arial"/>
          <w:b/>
          <w:bCs/>
          <w:color w:val="626060"/>
          <w:sz w:val="14"/>
          <w:szCs w:val="14"/>
          <w:shd w:val="clear" w:color="auto" w:fill="FFFFFF"/>
        </w:rPr>
        <w:t xml:space="preserve"> </w:t>
      </w:r>
      <w:r w:rsidR="003A72A9" w:rsidRPr="003A72A9">
        <w:rPr>
          <w:rFonts w:ascii="Calibri" w:hAnsi="Calibri" w:cs="Arial"/>
          <w:sz w:val="22"/>
          <w:szCs w:val="22"/>
        </w:rPr>
        <w:t>(Uradni list RS, št.</w:t>
      </w:r>
      <w:r w:rsidR="003A72A9" w:rsidRPr="003A72A9">
        <w:rPr>
          <w:rFonts w:ascii="Calibri" w:hAnsi="Calibri"/>
          <w:sz w:val="22"/>
          <w:szCs w:val="22"/>
        </w:rPr>
        <w:t> </w:t>
      </w:r>
      <w:hyperlink r:id="rId7" w:tgtFrame="_blank" w:tooltip="Zakon o kmetijskih zemljiščih (uradno prečiščeno besedilo)" w:history="1">
        <w:r w:rsidR="003A72A9" w:rsidRPr="003A72A9">
          <w:rPr>
            <w:rFonts w:ascii="Calibri" w:hAnsi="Calibri"/>
            <w:sz w:val="22"/>
            <w:szCs w:val="22"/>
          </w:rPr>
          <w:t>71/11</w:t>
        </w:r>
      </w:hyperlink>
      <w:r w:rsidR="003A72A9" w:rsidRPr="003A72A9">
        <w:rPr>
          <w:rFonts w:ascii="Calibri" w:hAnsi="Calibri"/>
          <w:sz w:val="22"/>
          <w:szCs w:val="22"/>
        </w:rPr>
        <w:t> </w:t>
      </w:r>
      <w:r w:rsidR="003A72A9" w:rsidRPr="003A72A9">
        <w:rPr>
          <w:rFonts w:ascii="Calibri" w:hAnsi="Calibri" w:cs="Arial"/>
          <w:sz w:val="22"/>
          <w:szCs w:val="22"/>
        </w:rPr>
        <w:t>– uradno prečiščeno besedilo,</w:t>
      </w:r>
      <w:r w:rsidR="003A72A9" w:rsidRPr="003A72A9">
        <w:rPr>
          <w:rFonts w:ascii="Calibri" w:hAnsi="Calibri"/>
          <w:sz w:val="22"/>
          <w:szCs w:val="22"/>
        </w:rPr>
        <w:t> </w:t>
      </w:r>
      <w:hyperlink r:id="rId8" w:tgtFrame="_blank" w:tooltip="Zakon o spremembah in dopolnitvi Zakona o kmetijskih zemljiščih" w:history="1">
        <w:r w:rsidR="003A72A9" w:rsidRPr="003A72A9">
          <w:rPr>
            <w:rFonts w:ascii="Calibri" w:hAnsi="Calibri"/>
            <w:sz w:val="22"/>
            <w:szCs w:val="22"/>
          </w:rPr>
          <w:t>58/12</w:t>
        </w:r>
      </w:hyperlink>
      <w:r w:rsidR="003A72A9" w:rsidRPr="003A72A9">
        <w:rPr>
          <w:rFonts w:ascii="Calibri" w:hAnsi="Calibri"/>
          <w:sz w:val="22"/>
          <w:szCs w:val="22"/>
        </w:rPr>
        <w:t> </w:t>
      </w:r>
      <w:r w:rsidR="003A72A9" w:rsidRPr="003A72A9">
        <w:rPr>
          <w:rFonts w:ascii="Calibri" w:hAnsi="Calibri" w:cs="Arial"/>
          <w:sz w:val="22"/>
          <w:szCs w:val="22"/>
        </w:rPr>
        <w:t>in</w:t>
      </w:r>
      <w:r w:rsidR="003A72A9" w:rsidRPr="003A72A9">
        <w:rPr>
          <w:rFonts w:ascii="Calibri" w:hAnsi="Calibri"/>
          <w:sz w:val="22"/>
          <w:szCs w:val="22"/>
        </w:rPr>
        <w:t> </w:t>
      </w:r>
      <w:hyperlink r:id="rId9" w:tgtFrame="_blank" w:tooltip="Zakon o spremembah in dopolnitvah Zakona o kmetijskih zemljiščih" w:history="1">
        <w:r w:rsidR="003A72A9" w:rsidRPr="003A72A9">
          <w:rPr>
            <w:rFonts w:ascii="Calibri" w:hAnsi="Calibri"/>
            <w:sz w:val="22"/>
            <w:szCs w:val="22"/>
          </w:rPr>
          <w:t>27/16</w:t>
        </w:r>
      </w:hyperlink>
      <w:r w:rsidR="003A72A9" w:rsidRPr="003A72A9">
        <w:rPr>
          <w:rFonts w:ascii="Calibri" w:hAnsi="Calibri" w:cs="Arial"/>
          <w:sz w:val="22"/>
          <w:szCs w:val="22"/>
        </w:rPr>
        <w:t>)</w:t>
      </w:r>
      <w:r w:rsidR="003A72A9">
        <w:rPr>
          <w:rFonts w:ascii="Calibri" w:hAnsi="Calibri" w:cs="Arial"/>
          <w:sz w:val="22"/>
          <w:szCs w:val="22"/>
        </w:rPr>
        <w:t xml:space="preserve">, </w:t>
      </w:r>
      <w:r w:rsidRPr="00006C64">
        <w:rPr>
          <w:rFonts w:ascii="Calibri" w:hAnsi="Calibri" w:cs="Arial"/>
          <w:sz w:val="22"/>
          <w:szCs w:val="22"/>
        </w:rPr>
        <w:t>z Zakonom o evidentiranju nepremičnin (</w:t>
      </w:r>
      <w:r w:rsidR="003A72A9" w:rsidRPr="003A72A9">
        <w:rPr>
          <w:rFonts w:ascii="Calibri" w:hAnsi="Calibri" w:cs="Arial"/>
          <w:sz w:val="22"/>
          <w:szCs w:val="22"/>
        </w:rPr>
        <w:t>Uradni list RS, št.</w:t>
      </w:r>
      <w:r w:rsidR="003A72A9" w:rsidRPr="003A72A9">
        <w:rPr>
          <w:rFonts w:ascii="Calibri" w:hAnsi="Calibri"/>
          <w:sz w:val="22"/>
          <w:szCs w:val="22"/>
        </w:rPr>
        <w:t> </w:t>
      </w:r>
      <w:hyperlink r:id="rId10" w:tgtFrame="_blank" w:tooltip="Zakon o evidentiranju nepremičnin (ZEN)" w:history="1">
        <w:r w:rsidR="003A72A9" w:rsidRPr="003A72A9">
          <w:rPr>
            <w:rFonts w:ascii="Calibri" w:hAnsi="Calibri"/>
            <w:sz w:val="22"/>
            <w:szCs w:val="22"/>
          </w:rPr>
          <w:t>47/06</w:t>
        </w:r>
      </w:hyperlink>
      <w:r w:rsidR="003A72A9" w:rsidRPr="003A72A9">
        <w:rPr>
          <w:rFonts w:ascii="Calibri" w:hAnsi="Calibri" w:cs="Arial"/>
          <w:sz w:val="22"/>
          <w:szCs w:val="22"/>
        </w:rPr>
        <w:t>,</w:t>
      </w:r>
      <w:r w:rsidR="003A72A9" w:rsidRPr="003A72A9">
        <w:rPr>
          <w:rFonts w:ascii="Calibri" w:hAnsi="Calibri"/>
          <w:sz w:val="22"/>
          <w:szCs w:val="22"/>
        </w:rPr>
        <w:t> </w:t>
      </w:r>
      <w:hyperlink r:id="rId11" w:tgtFrame="_blank" w:tooltip="Odločba o delni razveljavitvi prvega in drugega odstavka 114. člena Zakona o evidentiranju nepremičnin in o ugotovitvi, da prvi odstavek 96. člena, prvi in drugi odstavek 98. člena, prvi odstavek 100. člena ter peti in šesti odstavek 103. člena Zakona o eviden" w:history="1">
        <w:r w:rsidR="003A72A9" w:rsidRPr="003A72A9">
          <w:rPr>
            <w:rFonts w:ascii="Calibri" w:hAnsi="Calibri"/>
            <w:sz w:val="22"/>
            <w:szCs w:val="22"/>
          </w:rPr>
          <w:t>65/07</w:t>
        </w:r>
      </w:hyperlink>
      <w:r w:rsidR="003A72A9" w:rsidRPr="003A72A9">
        <w:rPr>
          <w:rFonts w:ascii="Calibri" w:hAnsi="Calibri"/>
          <w:sz w:val="22"/>
          <w:szCs w:val="22"/>
        </w:rPr>
        <w:t> </w:t>
      </w:r>
      <w:r w:rsidR="003A72A9" w:rsidRPr="003A72A9">
        <w:rPr>
          <w:rFonts w:ascii="Calibri" w:hAnsi="Calibri" w:cs="Arial"/>
          <w:sz w:val="22"/>
          <w:szCs w:val="22"/>
        </w:rPr>
        <w:t xml:space="preserve">– </w:t>
      </w:r>
      <w:proofErr w:type="spellStart"/>
      <w:r w:rsidR="003A72A9" w:rsidRPr="003A72A9">
        <w:rPr>
          <w:rFonts w:ascii="Calibri" w:hAnsi="Calibri" w:cs="Arial"/>
          <w:sz w:val="22"/>
          <w:szCs w:val="22"/>
        </w:rPr>
        <w:t>odl</w:t>
      </w:r>
      <w:proofErr w:type="spellEnd"/>
      <w:r w:rsidR="003A72A9" w:rsidRPr="003A72A9">
        <w:rPr>
          <w:rFonts w:ascii="Calibri" w:hAnsi="Calibri" w:cs="Arial"/>
          <w:sz w:val="22"/>
          <w:szCs w:val="22"/>
        </w:rPr>
        <w:t>. US in</w:t>
      </w:r>
      <w:r w:rsidR="003A72A9" w:rsidRPr="003A72A9">
        <w:rPr>
          <w:rFonts w:ascii="Calibri" w:hAnsi="Calibri"/>
          <w:sz w:val="22"/>
          <w:szCs w:val="22"/>
        </w:rPr>
        <w:t> </w:t>
      </w:r>
      <w:hyperlink r:id="rId12" w:tgtFrame="_blank" w:tooltip="Odločba o razveljavitvi prvega in drugega odstavka 114. člena Zakona o evidentiranju nepremičnin, kolikor določata javnost zemljiškega katastra in katastra stavb v delu, ki se nanaša na podatke o lastniku, če gre za fizično osebo, o ugotovitvi, da niso v neskl" w:history="1">
        <w:r w:rsidR="003A72A9" w:rsidRPr="003A72A9">
          <w:rPr>
            <w:rFonts w:ascii="Calibri" w:hAnsi="Calibri"/>
            <w:sz w:val="22"/>
            <w:szCs w:val="22"/>
          </w:rPr>
          <w:t>79/12</w:t>
        </w:r>
      </w:hyperlink>
      <w:r w:rsidR="003A72A9" w:rsidRPr="003A72A9">
        <w:rPr>
          <w:rFonts w:ascii="Calibri" w:hAnsi="Calibri"/>
          <w:sz w:val="22"/>
          <w:szCs w:val="22"/>
        </w:rPr>
        <w:t> </w:t>
      </w:r>
      <w:r w:rsidR="003A72A9" w:rsidRPr="003A72A9">
        <w:rPr>
          <w:rFonts w:ascii="Calibri" w:hAnsi="Calibri" w:cs="Arial"/>
          <w:sz w:val="22"/>
          <w:szCs w:val="22"/>
        </w:rPr>
        <w:t xml:space="preserve">– </w:t>
      </w:r>
      <w:proofErr w:type="spellStart"/>
      <w:r w:rsidR="003A72A9" w:rsidRPr="003A72A9">
        <w:rPr>
          <w:rFonts w:ascii="Calibri" w:hAnsi="Calibri" w:cs="Arial"/>
          <w:sz w:val="22"/>
          <w:szCs w:val="22"/>
        </w:rPr>
        <w:t>odl</w:t>
      </w:r>
      <w:proofErr w:type="spellEnd"/>
      <w:r w:rsidR="003A72A9" w:rsidRPr="003A72A9">
        <w:rPr>
          <w:rFonts w:ascii="Calibri" w:hAnsi="Calibri" w:cs="Arial"/>
          <w:sz w:val="22"/>
          <w:szCs w:val="22"/>
        </w:rPr>
        <w:t>. US)</w:t>
      </w:r>
      <w:r w:rsidRPr="00006C64">
        <w:rPr>
          <w:rFonts w:ascii="Calibri" w:hAnsi="Calibri" w:cs="Arial"/>
          <w:sz w:val="22"/>
          <w:szCs w:val="22"/>
        </w:rPr>
        <w:t xml:space="preserve">, s Pravilnikom o izvajanju komasacij kmetijskih zemljišč (Uradni list RS, št. 95/2004 in 98/2006) in s Pravilnikom o urejanju mej ter spreminjanju in evidentiranju podatkov v zemljiškem katastru (Uradni list RS, št. 8/2007 in 26/2007). </w:t>
      </w:r>
    </w:p>
    <w:p w:rsidR="003A72A9" w:rsidRPr="00006C64" w:rsidRDefault="003A72A9" w:rsidP="00006C64">
      <w:pPr>
        <w:tabs>
          <w:tab w:val="left" w:pos="567"/>
          <w:tab w:val="left" w:pos="851"/>
        </w:tabs>
        <w:jc w:val="both"/>
        <w:rPr>
          <w:rFonts w:ascii="Calibri" w:hAnsi="Calibri" w:cs="Arial"/>
          <w:sz w:val="22"/>
          <w:szCs w:val="22"/>
        </w:rPr>
      </w:pP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 xml:space="preserve">Ob zaključku komasacijskega postopka je izvajalec geodetskih in ostalih operativnih del dolžan sestaviti tehnično poročilo v digitalni obliki v treh izvodih, ki vsebuje naslednje podatke: </w:t>
      </w: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 xml:space="preserve">a) stanje pred in po komasaciji, ki se nanaša na površino območja, </w:t>
      </w:r>
      <w:r w:rsidR="002573EE">
        <w:rPr>
          <w:rFonts w:ascii="Calibri" w:hAnsi="Calibri" w:cs="Arial"/>
          <w:sz w:val="22"/>
          <w:szCs w:val="22"/>
        </w:rPr>
        <w:t xml:space="preserve">število </w:t>
      </w:r>
      <w:r w:rsidRPr="00006C64">
        <w:rPr>
          <w:rFonts w:ascii="Calibri" w:hAnsi="Calibri" w:cs="Arial"/>
          <w:sz w:val="22"/>
          <w:szCs w:val="22"/>
        </w:rPr>
        <w:t xml:space="preserve">parcel, število lastniških kosov, </w:t>
      </w:r>
      <w:r w:rsidR="002573EE">
        <w:rPr>
          <w:rFonts w:ascii="Calibri" w:hAnsi="Calibri" w:cs="Arial"/>
          <w:sz w:val="22"/>
          <w:szCs w:val="22"/>
        </w:rPr>
        <w:t>število lastnikov</w:t>
      </w:r>
      <w:r w:rsidRPr="00006C64">
        <w:rPr>
          <w:rFonts w:ascii="Calibri" w:hAnsi="Calibri" w:cs="Arial"/>
          <w:sz w:val="22"/>
          <w:szCs w:val="22"/>
        </w:rPr>
        <w:t>,</w:t>
      </w:r>
      <w:r w:rsidR="002573EE">
        <w:rPr>
          <w:rFonts w:ascii="Calibri" w:hAnsi="Calibri" w:cs="Arial"/>
          <w:sz w:val="22"/>
          <w:szCs w:val="22"/>
        </w:rPr>
        <w:t xml:space="preserve"> ipd.</w:t>
      </w: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b) stare parcelne številke zajete v komasacijo,</w:t>
      </w: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c) nove parcelne številke s podatki o lastništvu po komasacijskih odločbah o novi razdelitvi,</w:t>
      </w: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d) časovni pregled poteka komasacijskega postopka,</w:t>
      </w:r>
    </w:p>
    <w:p w:rsid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 xml:space="preserve">e) morebitne posebnosti v postopku. </w:t>
      </w:r>
    </w:p>
    <w:p w:rsidR="002573EE" w:rsidRPr="00006C64" w:rsidRDefault="002573EE" w:rsidP="00006C64">
      <w:pPr>
        <w:tabs>
          <w:tab w:val="left" w:pos="567"/>
          <w:tab w:val="left" w:pos="851"/>
        </w:tabs>
        <w:jc w:val="both"/>
        <w:rPr>
          <w:rFonts w:ascii="Calibri" w:hAnsi="Calibri" w:cs="Arial"/>
          <w:sz w:val="22"/>
          <w:szCs w:val="22"/>
        </w:rPr>
      </w:pPr>
    </w:p>
    <w:p w:rsidR="00006C64" w:rsidRPr="00006C64" w:rsidRDefault="00006C64" w:rsidP="00006C64">
      <w:pPr>
        <w:tabs>
          <w:tab w:val="left" w:pos="567"/>
          <w:tab w:val="left" w:pos="851"/>
        </w:tabs>
        <w:jc w:val="both"/>
        <w:rPr>
          <w:rFonts w:ascii="Calibri" w:hAnsi="Calibri" w:cs="Arial"/>
          <w:sz w:val="22"/>
          <w:szCs w:val="22"/>
          <w:highlight w:val="yellow"/>
        </w:rPr>
      </w:pP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 xml:space="preserve">Tehnično poročilo se pripravi v 3 (treh) izvodih. Tehničnemu poročilu je potrebno v digitalni obliki priložiti tudi grafične in opisne podatke o parcelah novega stanja v formatih, ki so predpisani  s strani Geodetske uprave RS ter v SHP formatu, s priloženo DBF datoteko – z naslednjo strukturo (SIFKO, SIFDELKO, SIFVRAB, IMEVRAB, OZNVRAB, RAZRED, POVRSINA, STEV, PODD, VRSTAP, PARCELA). </w:t>
      </w:r>
    </w:p>
    <w:p w:rsidR="00006C64" w:rsidRPr="00006C64" w:rsidRDefault="00006C64" w:rsidP="00006C64">
      <w:pPr>
        <w:tabs>
          <w:tab w:val="left" w:pos="567"/>
          <w:tab w:val="left" w:pos="851"/>
        </w:tabs>
        <w:jc w:val="both"/>
        <w:rPr>
          <w:rFonts w:ascii="Calibri" w:hAnsi="Calibri" w:cs="Arial"/>
          <w:sz w:val="22"/>
          <w:szCs w:val="22"/>
        </w:rPr>
      </w:pPr>
    </w:p>
    <w:p w:rsid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 xml:space="preserve">Tehnično poročilo se pripravi ob izstavitvi zadnje in končne situacije. </w:t>
      </w:r>
    </w:p>
    <w:p w:rsidR="003A72A9" w:rsidRDefault="003A72A9" w:rsidP="00006C64">
      <w:pPr>
        <w:tabs>
          <w:tab w:val="left" w:pos="567"/>
          <w:tab w:val="left" w:pos="851"/>
        </w:tabs>
        <w:jc w:val="both"/>
        <w:rPr>
          <w:rFonts w:ascii="Calibri" w:hAnsi="Calibri" w:cs="Arial"/>
          <w:sz w:val="22"/>
          <w:szCs w:val="22"/>
        </w:rPr>
      </w:pPr>
    </w:p>
    <w:p w:rsidR="00006C64" w:rsidRPr="00006C64" w:rsidRDefault="00006C64" w:rsidP="00006C64">
      <w:pPr>
        <w:tabs>
          <w:tab w:val="left" w:pos="567"/>
          <w:tab w:val="left" w:pos="851"/>
        </w:tabs>
        <w:jc w:val="both"/>
        <w:rPr>
          <w:rFonts w:ascii="Calibri" w:hAnsi="Calibri" w:cs="Arial"/>
          <w:sz w:val="22"/>
          <w:szCs w:val="22"/>
        </w:rPr>
      </w:pPr>
    </w:p>
    <w:p w:rsidR="00006C64" w:rsidRPr="00006C64" w:rsidRDefault="00006C64" w:rsidP="00006C64">
      <w:pPr>
        <w:tabs>
          <w:tab w:val="left" w:pos="567"/>
          <w:tab w:val="left" w:pos="851"/>
        </w:tabs>
        <w:jc w:val="both"/>
        <w:rPr>
          <w:rFonts w:ascii="Calibri" w:hAnsi="Calibri" w:cs="Arial"/>
          <w:b/>
          <w:bCs/>
          <w:sz w:val="22"/>
          <w:szCs w:val="22"/>
        </w:rPr>
      </w:pPr>
      <w:r w:rsidRPr="00006C64">
        <w:rPr>
          <w:rFonts w:ascii="Calibri" w:hAnsi="Calibri" w:cs="Arial"/>
          <w:b/>
          <w:bCs/>
          <w:sz w:val="22"/>
          <w:szCs w:val="22"/>
        </w:rPr>
        <w:t>3.</w:t>
      </w:r>
      <w:r w:rsidRPr="00006C64">
        <w:rPr>
          <w:rFonts w:ascii="Calibri" w:hAnsi="Calibri" w:cs="Arial"/>
          <w:b/>
          <w:bCs/>
          <w:sz w:val="22"/>
          <w:szCs w:val="22"/>
        </w:rPr>
        <w:tab/>
        <w:t>ROK</w:t>
      </w:r>
    </w:p>
    <w:p w:rsidR="00006C64" w:rsidRPr="00006C64" w:rsidRDefault="00006C64" w:rsidP="00006C64">
      <w:pPr>
        <w:tabs>
          <w:tab w:val="left" w:pos="567"/>
          <w:tab w:val="left" w:pos="851"/>
        </w:tabs>
        <w:jc w:val="both"/>
        <w:rPr>
          <w:rFonts w:ascii="Calibri" w:hAnsi="Calibri" w:cs="Arial"/>
          <w:sz w:val="22"/>
          <w:szCs w:val="22"/>
        </w:rPr>
      </w:pPr>
    </w:p>
    <w:p w:rsidR="00006C64" w:rsidRPr="00006C64" w:rsidRDefault="00006C64" w:rsidP="00006C64">
      <w:pPr>
        <w:tabs>
          <w:tab w:val="left" w:pos="567"/>
          <w:tab w:val="left" w:pos="851"/>
        </w:tabs>
        <w:jc w:val="both"/>
        <w:rPr>
          <w:rFonts w:ascii="Calibri" w:hAnsi="Calibri" w:cs="Arial"/>
          <w:sz w:val="22"/>
          <w:szCs w:val="22"/>
        </w:rPr>
      </w:pPr>
      <w:r w:rsidRPr="00006C64">
        <w:rPr>
          <w:rFonts w:ascii="Calibri" w:hAnsi="Calibri" w:cs="Arial"/>
          <w:sz w:val="22"/>
          <w:szCs w:val="22"/>
        </w:rPr>
        <w:t xml:space="preserve">Rok za izvedbo pogodbenih del </w:t>
      </w:r>
      <w:r w:rsidRPr="00B63023">
        <w:rPr>
          <w:rFonts w:ascii="Calibri" w:hAnsi="Calibri" w:cs="Arial"/>
          <w:sz w:val="22"/>
          <w:szCs w:val="22"/>
        </w:rPr>
        <w:t xml:space="preserve">je  </w:t>
      </w:r>
      <w:r w:rsidR="00C0365F" w:rsidRPr="00B63023">
        <w:rPr>
          <w:rFonts w:ascii="Calibri" w:hAnsi="Calibri" w:cs="Arial"/>
          <w:b/>
          <w:sz w:val="22"/>
          <w:szCs w:val="22"/>
        </w:rPr>
        <w:t>30.</w:t>
      </w:r>
      <w:r w:rsidR="00B63023" w:rsidRPr="00B63023">
        <w:rPr>
          <w:rFonts w:ascii="Calibri" w:hAnsi="Calibri" w:cs="Arial"/>
          <w:b/>
          <w:sz w:val="22"/>
          <w:szCs w:val="22"/>
        </w:rPr>
        <w:t>11</w:t>
      </w:r>
      <w:r w:rsidR="00C0365F" w:rsidRPr="00B63023">
        <w:rPr>
          <w:rFonts w:ascii="Calibri" w:hAnsi="Calibri" w:cs="Arial"/>
          <w:b/>
          <w:sz w:val="22"/>
          <w:szCs w:val="22"/>
        </w:rPr>
        <w:t>.2019</w:t>
      </w:r>
      <w:r w:rsidRPr="00006C64">
        <w:rPr>
          <w:rFonts w:ascii="Calibri" w:hAnsi="Calibri" w:cs="Arial"/>
          <w:sz w:val="22"/>
          <w:szCs w:val="22"/>
        </w:rPr>
        <w:t xml:space="preserve"> </w:t>
      </w:r>
    </w:p>
    <w:p w:rsidR="00006C64" w:rsidRPr="00006C64" w:rsidRDefault="00006C64" w:rsidP="00006C64">
      <w:pPr>
        <w:jc w:val="both"/>
        <w:rPr>
          <w:rFonts w:ascii="Calibri" w:hAnsi="Calibri" w:cs="Arial"/>
          <w:sz w:val="22"/>
          <w:szCs w:val="22"/>
        </w:rPr>
      </w:pPr>
    </w:p>
    <w:p w:rsidR="00006C64" w:rsidRPr="00006C64" w:rsidRDefault="00006C64" w:rsidP="00006C64">
      <w:pPr>
        <w:jc w:val="both"/>
        <w:rPr>
          <w:rFonts w:ascii="Calibri" w:hAnsi="Calibri" w:cs="Arial"/>
          <w:sz w:val="22"/>
          <w:szCs w:val="22"/>
        </w:rPr>
      </w:pPr>
    </w:p>
    <w:p w:rsidR="00006C64" w:rsidRPr="00006C64" w:rsidRDefault="00006C64" w:rsidP="00006C64">
      <w:pPr>
        <w:tabs>
          <w:tab w:val="left" w:pos="567"/>
        </w:tabs>
        <w:rPr>
          <w:rFonts w:ascii="Calibri" w:hAnsi="Calibri" w:cs="Arial"/>
          <w:b/>
          <w:bCs/>
          <w:sz w:val="22"/>
          <w:szCs w:val="22"/>
        </w:rPr>
      </w:pPr>
      <w:r w:rsidRPr="00006C64">
        <w:rPr>
          <w:rFonts w:ascii="Calibri" w:hAnsi="Calibri" w:cs="Arial"/>
          <w:b/>
          <w:bCs/>
          <w:sz w:val="22"/>
          <w:szCs w:val="22"/>
        </w:rPr>
        <w:t>4.</w:t>
      </w:r>
      <w:r w:rsidRPr="00006C64">
        <w:rPr>
          <w:rFonts w:ascii="Calibri" w:hAnsi="Calibri" w:cs="Arial"/>
          <w:b/>
          <w:bCs/>
          <w:sz w:val="22"/>
          <w:szCs w:val="22"/>
        </w:rPr>
        <w:tab/>
        <w:t>DODATEK:</w:t>
      </w:r>
    </w:p>
    <w:p w:rsidR="00006C64" w:rsidRPr="00006C64" w:rsidRDefault="00006C64" w:rsidP="00006C64">
      <w:pPr>
        <w:rPr>
          <w:rFonts w:ascii="Calibri" w:hAnsi="Calibri" w:cs="Arial"/>
          <w:sz w:val="22"/>
          <w:szCs w:val="22"/>
        </w:rPr>
      </w:pPr>
    </w:p>
    <w:p w:rsidR="00006C64" w:rsidRPr="00006C64" w:rsidRDefault="00006C64" w:rsidP="00006C64">
      <w:pPr>
        <w:widowControl/>
        <w:numPr>
          <w:ilvl w:val="0"/>
          <w:numId w:val="1"/>
        </w:numPr>
        <w:autoSpaceDE/>
        <w:autoSpaceDN/>
        <w:adjustRightInd/>
        <w:rPr>
          <w:rFonts w:ascii="Calibri" w:hAnsi="Calibri" w:cs="Arial"/>
          <w:sz w:val="22"/>
          <w:szCs w:val="22"/>
        </w:rPr>
      </w:pPr>
      <w:r w:rsidRPr="00B63023">
        <w:rPr>
          <w:rFonts w:ascii="Calibri" w:hAnsi="Calibri" w:cs="Arial"/>
          <w:sz w:val="22"/>
          <w:szCs w:val="22"/>
        </w:rPr>
        <w:t>Priloga:</w:t>
      </w:r>
      <w:r w:rsidRPr="00006C64">
        <w:rPr>
          <w:rFonts w:ascii="Calibri" w:hAnsi="Calibri" w:cs="Arial"/>
          <w:sz w:val="22"/>
          <w:szCs w:val="22"/>
        </w:rPr>
        <w:t xml:space="preserve"> Grafični prikaz območja – predlog idejne zasnov</w:t>
      </w:r>
      <w:r w:rsidR="002573EE">
        <w:rPr>
          <w:rFonts w:ascii="Calibri" w:hAnsi="Calibri" w:cs="Arial"/>
          <w:sz w:val="22"/>
          <w:szCs w:val="22"/>
        </w:rPr>
        <w:t>e</w:t>
      </w:r>
      <w:r w:rsidRPr="00006C64">
        <w:rPr>
          <w:rFonts w:ascii="Calibri" w:hAnsi="Calibri" w:cs="Arial"/>
          <w:sz w:val="22"/>
          <w:szCs w:val="22"/>
        </w:rPr>
        <w:t xml:space="preserve"> ureditve komasacijskega območja</w:t>
      </w:r>
    </w:p>
    <w:p w:rsidR="00006C64" w:rsidRPr="00006C64" w:rsidRDefault="00006C64" w:rsidP="00006C64">
      <w:pPr>
        <w:widowControl/>
        <w:autoSpaceDE/>
        <w:autoSpaceDN/>
        <w:adjustRightInd/>
        <w:spacing w:line="264" w:lineRule="auto"/>
        <w:jc w:val="both"/>
        <w:rPr>
          <w:rFonts w:ascii="Calibri" w:hAnsi="Calibri" w:cs="Arial"/>
          <w:sz w:val="22"/>
          <w:szCs w:val="22"/>
        </w:rPr>
      </w:pPr>
    </w:p>
    <w:p w:rsidR="00521D8C" w:rsidRPr="00006C64" w:rsidRDefault="00521D8C">
      <w:pPr>
        <w:rPr>
          <w:rFonts w:ascii="Calibri" w:hAnsi="Calibri"/>
        </w:rPr>
      </w:pPr>
    </w:p>
    <w:sectPr w:rsidR="00521D8C" w:rsidRPr="00006C64" w:rsidSect="00521D8C">
      <w:head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964" w:rsidRDefault="007C0964" w:rsidP="002015C5">
      <w:r>
        <w:separator/>
      </w:r>
    </w:p>
  </w:endnote>
  <w:endnote w:type="continuationSeparator" w:id="0">
    <w:p w:rsidR="007C0964" w:rsidRDefault="007C0964" w:rsidP="002015C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61002A87" w:usb1="80000000" w:usb2="00000008" w:usb3="00000000" w:csb0="0001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964" w:rsidRDefault="007C0964" w:rsidP="002015C5">
      <w:r>
        <w:separator/>
      </w:r>
    </w:p>
  </w:footnote>
  <w:footnote w:type="continuationSeparator" w:id="0">
    <w:p w:rsidR="007C0964" w:rsidRDefault="007C0964" w:rsidP="002015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5C5" w:rsidRDefault="002015C5" w:rsidP="002015C5">
    <w:pPr>
      <w:pStyle w:val="Glava"/>
    </w:pPr>
    <w:r>
      <w:rPr>
        <w:noProof/>
        <w:lang w:val="en-GB" w:eastAsia="en-GB"/>
      </w:rPr>
      <w:drawing>
        <wp:inline distT="0" distB="0" distL="0" distR="0">
          <wp:extent cx="3405073" cy="965607"/>
          <wp:effectExtent l="19050" t="0" r="4877" b="0"/>
          <wp:docPr id="1" name="Slika 0" descr="PRP-EU-SLO-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P-EU-SLO-barvni.jpg"/>
                  <pic:cNvPicPr/>
                </pic:nvPicPr>
                <pic:blipFill>
                  <a:blip r:embed="rId1"/>
                  <a:srcRect l="6872" r="6209"/>
                  <a:stretch>
                    <a:fillRect/>
                  </a:stretch>
                </pic:blipFill>
                <pic:spPr>
                  <a:xfrm>
                    <a:off x="0" y="0"/>
                    <a:ext cx="3405073" cy="965607"/>
                  </a:xfrm>
                  <a:prstGeom prst="rect">
                    <a:avLst/>
                  </a:prstGeom>
                </pic:spPr>
              </pic:pic>
            </a:graphicData>
          </a:graphic>
        </wp:inline>
      </w:drawing>
    </w:r>
  </w:p>
  <w:p w:rsidR="002015C5" w:rsidRPr="002015C5" w:rsidRDefault="002015C5" w:rsidP="002015C5">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633BA"/>
    <w:multiLevelType w:val="hybridMultilevel"/>
    <w:tmpl w:val="4C027644"/>
    <w:lvl w:ilvl="0" w:tplc="A11ADB5E">
      <w:start w:val="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77CD4843"/>
    <w:multiLevelType w:val="singleLevel"/>
    <w:tmpl w:val="7242AD6A"/>
    <w:lvl w:ilvl="0">
      <w:numFmt w:val="bullet"/>
      <w:lvlText w:val="-"/>
      <w:lvlJc w:val="left"/>
      <w:pPr>
        <w:tabs>
          <w:tab w:val="num" w:pos="930"/>
        </w:tabs>
        <w:ind w:left="930" w:hanging="3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rsids>
    <w:rsidRoot w:val="00006C64"/>
    <w:rsid w:val="00006C64"/>
    <w:rsid w:val="002015C5"/>
    <w:rsid w:val="002573EE"/>
    <w:rsid w:val="00333CEC"/>
    <w:rsid w:val="00337FA6"/>
    <w:rsid w:val="00351B8B"/>
    <w:rsid w:val="003A72A9"/>
    <w:rsid w:val="003F617F"/>
    <w:rsid w:val="00410859"/>
    <w:rsid w:val="004E1B5C"/>
    <w:rsid w:val="00521D8C"/>
    <w:rsid w:val="006905D7"/>
    <w:rsid w:val="007C0964"/>
    <w:rsid w:val="009B523B"/>
    <w:rsid w:val="00A46702"/>
    <w:rsid w:val="00B63023"/>
    <w:rsid w:val="00BB674B"/>
    <w:rsid w:val="00C0112F"/>
    <w:rsid w:val="00C0365F"/>
    <w:rsid w:val="00E35F0C"/>
    <w:rsid w:val="00FA58C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06C64"/>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006C64"/>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006C64"/>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006C64"/>
    <w:pPr>
      <w:widowControl/>
      <w:autoSpaceDE/>
      <w:autoSpaceDN/>
      <w:adjustRightInd/>
    </w:pPr>
    <w:rPr>
      <w:sz w:val="24"/>
      <w:szCs w:val="24"/>
    </w:rPr>
  </w:style>
  <w:style w:type="character" w:customStyle="1" w:styleId="Telobesedila2Znak">
    <w:name w:val="Telo besedila 2 Znak"/>
    <w:basedOn w:val="Privzetapisavaodstavka"/>
    <w:link w:val="Telobesedila2"/>
    <w:uiPriority w:val="99"/>
    <w:rsid w:val="00006C64"/>
    <w:rPr>
      <w:rFonts w:ascii="Times New Roman" w:eastAsia="Times New Roman" w:hAnsi="Times New Roman" w:cs="Times New Roman"/>
      <w:sz w:val="24"/>
      <w:szCs w:val="24"/>
      <w:lang w:eastAsia="sl-SI"/>
    </w:rPr>
  </w:style>
  <w:style w:type="table" w:styleId="Tabela-mrea">
    <w:name w:val="Table Grid"/>
    <w:basedOn w:val="Navadnatabela"/>
    <w:uiPriority w:val="59"/>
    <w:rsid w:val="00006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Privzetapisavaodstavka"/>
    <w:rsid w:val="003A72A9"/>
  </w:style>
  <w:style w:type="character" w:styleId="Hiperpovezava">
    <w:name w:val="Hyperlink"/>
    <w:basedOn w:val="Privzetapisavaodstavka"/>
    <w:uiPriority w:val="99"/>
    <w:semiHidden/>
    <w:unhideWhenUsed/>
    <w:rsid w:val="003A72A9"/>
    <w:rPr>
      <w:color w:val="0000FF"/>
      <w:u w:val="single"/>
    </w:rPr>
  </w:style>
  <w:style w:type="paragraph" w:styleId="Kazalovsebine1">
    <w:name w:val="toc 1"/>
    <w:basedOn w:val="Navaden"/>
    <w:next w:val="Navaden"/>
    <w:autoRedefine/>
    <w:uiPriority w:val="99"/>
    <w:semiHidden/>
    <w:rsid w:val="003A72A9"/>
    <w:pPr>
      <w:widowControl/>
      <w:tabs>
        <w:tab w:val="left" w:pos="480"/>
        <w:tab w:val="right" w:leader="dot" w:pos="9060"/>
      </w:tabs>
      <w:autoSpaceDE/>
      <w:autoSpaceDN/>
      <w:adjustRightInd/>
      <w:spacing w:line="360" w:lineRule="auto"/>
    </w:pPr>
    <w:rPr>
      <w:sz w:val="24"/>
      <w:szCs w:val="24"/>
    </w:rPr>
  </w:style>
  <w:style w:type="paragraph" w:styleId="Kazalovsebine2">
    <w:name w:val="toc 2"/>
    <w:basedOn w:val="Navaden"/>
    <w:next w:val="Navaden"/>
    <w:autoRedefine/>
    <w:uiPriority w:val="99"/>
    <w:semiHidden/>
    <w:rsid w:val="003A72A9"/>
    <w:pPr>
      <w:widowControl/>
      <w:autoSpaceDE/>
      <w:autoSpaceDN/>
      <w:adjustRightInd/>
      <w:ind w:left="240"/>
    </w:pPr>
    <w:rPr>
      <w:sz w:val="24"/>
      <w:szCs w:val="24"/>
    </w:rPr>
  </w:style>
  <w:style w:type="paragraph" w:styleId="Noga">
    <w:name w:val="footer"/>
    <w:basedOn w:val="Navaden"/>
    <w:link w:val="NogaZnak"/>
    <w:uiPriority w:val="99"/>
    <w:semiHidden/>
    <w:unhideWhenUsed/>
    <w:rsid w:val="002015C5"/>
    <w:pPr>
      <w:tabs>
        <w:tab w:val="center" w:pos="4536"/>
        <w:tab w:val="right" w:pos="9072"/>
      </w:tabs>
    </w:pPr>
  </w:style>
  <w:style w:type="character" w:customStyle="1" w:styleId="NogaZnak">
    <w:name w:val="Noga Znak"/>
    <w:basedOn w:val="Privzetapisavaodstavka"/>
    <w:link w:val="Noga"/>
    <w:uiPriority w:val="99"/>
    <w:semiHidden/>
    <w:rsid w:val="002015C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015C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015C5"/>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46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1-01-3086" TargetMode="External"/><Relationship Id="rId12" Type="http://schemas.openxmlformats.org/officeDocument/2006/relationships/hyperlink" Target="http://www.uradni-list.si/1/objava.jsp?sop=2012-01-30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07-01-356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adni-list.si/1/objava.jsp?sop=2006-01-2024" TargetMode="External"/><Relationship Id="rId4" Type="http://schemas.openxmlformats.org/officeDocument/2006/relationships/webSettings" Target="webSettings.xml"/><Relationship Id="rId9" Type="http://schemas.openxmlformats.org/officeDocument/2006/relationships/hyperlink" Target="http://www.uradni-list.si/1/objava.jsp?sop=2016-01-107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754</Words>
  <Characters>4299</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Marjetka</dc:creator>
  <cp:lastModifiedBy> </cp:lastModifiedBy>
  <cp:revision>7</cp:revision>
  <dcterms:created xsi:type="dcterms:W3CDTF">2017-06-14T06:04:00Z</dcterms:created>
  <dcterms:modified xsi:type="dcterms:W3CDTF">2017-09-10T10:29:00Z</dcterms:modified>
</cp:coreProperties>
</file>